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3DBF3" w14:textId="77777777" w:rsidR="00176347" w:rsidRPr="00176347" w:rsidRDefault="00176347" w:rsidP="0017634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r w:rsidRPr="0017634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НАЦІОНАЛЬНА КОМІСІЯ З ЦІННИХ ПАПЕРІВ ТА ФОНДОВОГО РИНКУ</w:t>
      </w:r>
    </w:p>
    <w:p w14:paraId="5E69CC5F" w14:textId="77777777" w:rsidR="00176347" w:rsidRPr="00176347" w:rsidRDefault="00176347" w:rsidP="00176347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</w:pPr>
      <w:r w:rsidRPr="0017634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РІШЕННЯ</w:t>
      </w:r>
    </w:p>
    <w:p w14:paraId="1BD24336" w14:textId="77777777" w:rsidR="00176347" w:rsidRPr="00176347" w:rsidRDefault="00176347" w:rsidP="0017634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r w:rsidRPr="0017634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від 11 листопада 2022 року N 1339</w:t>
      </w:r>
    </w:p>
    <w:p w14:paraId="6C693B44" w14:textId="77777777" w:rsidR="00176347" w:rsidRPr="00176347" w:rsidRDefault="00176347" w:rsidP="00176347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</w:pPr>
      <w:r w:rsidRPr="0017634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Про моніторинг відповідності осіб займаним посадам у професійних учасниках ринків капіталу та організованих товарних ринків у період дії воєнного стану</w:t>
      </w:r>
    </w:p>
    <w:p w14:paraId="1C1398F1" w14:textId="4C692B0F" w:rsidR="00176347" w:rsidRDefault="00CD5C02" w:rsidP="0017634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hyperlink r:id="rId5" w:tgtFrame="_top" w:history="1"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Із змінами і доповненнями, внесеними</w:t>
        </w:r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br/>
          <w:t> </w:t>
        </w:r>
      </w:hyperlink>
      <w:hyperlink r:id="rId6" w:tgtFrame="_top" w:history="1"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рішеннями</w:t>
        </w:r>
      </w:hyperlink>
      <w:r w:rsidR="00176347" w:rsidRPr="00176347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 </w:t>
      </w:r>
      <w:hyperlink r:id="rId7" w:tgtFrame="_top" w:history="1"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Національної комісії з цінних паперів та фондового ринку</w:t>
        </w:r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br/>
          <w:t> від 25 січня 2023 року N 91</w:t>
        </w:r>
      </w:hyperlink>
      <w:hyperlink r:id="rId8" w:tgtFrame="_top" w:history="1"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,</w:t>
        </w:r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br/>
          <w:t>від 6 березня 2023 року N 237</w:t>
        </w:r>
      </w:hyperlink>
      <w:hyperlink r:id="rId9" w:tgtFrame="_top" w:history="1"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,</w:t>
        </w:r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br/>
          <w:t>від 24 березня 2023 року N 350</w:t>
        </w:r>
      </w:hyperlink>
    </w:p>
    <w:p w14:paraId="79A5AA46" w14:textId="77777777" w:rsidR="006F38F2" w:rsidRPr="00176347" w:rsidRDefault="006F38F2" w:rsidP="0017634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</w:p>
    <w:p w14:paraId="36DF0522" w14:textId="77777777" w:rsidR="00176347" w:rsidRPr="00176347" w:rsidRDefault="00176347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r w:rsidRPr="00176347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Відповідно до частин двадцять сьомої та двадцять восьмої </w:t>
      </w:r>
      <w:hyperlink r:id="rId10" w:tgtFrame="_top" w:history="1">
        <w:r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статті 6</w:t>
        </w:r>
      </w:hyperlink>
      <w:r w:rsidRPr="00176347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, </w:t>
      </w:r>
      <w:hyperlink r:id="rId11" w:tgtFrame="_top" w:history="1">
        <w:r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пунктів 37</w:t>
        </w:r>
        <w:r w:rsidRPr="00176347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val="uk-UA" w:eastAsia="ru-UA"/>
          </w:rPr>
          <w:t>26</w:t>
        </w:r>
        <w:r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 - 37</w:t>
        </w:r>
        <w:r w:rsidRPr="00176347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val="uk-UA" w:eastAsia="ru-UA"/>
          </w:rPr>
          <w:t>27</w:t>
        </w:r>
        <w:r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 частини другої статті 7</w:t>
        </w:r>
      </w:hyperlink>
      <w:r w:rsidRPr="00176347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, </w:t>
      </w:r>
      <w:hyperlink r:id="rId12" w:tgtFrame="_top" w:history="1">
        <w:r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пункту 13 частини першої статті 8 Закону України "Про державне регулювання ринків капіталу та організованих товарних ринків"</w:t>
        </w:r>
      </w:hyperlink>
      <w:r w:rsidRPr="00176347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, у зв'язку з введенням воєнного стану відповідно до </w:t>
      </w:r>
      <w:hyperlink r:id="rId13" w:tgtFrame="_top" w:history="1">
        <w:r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Указу Президента України N 64/2022 від 24.02.2022</w:t>
        </w:r>
      </w:hyperlink>
      <w:r w:rsidRPr="00176347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 та з метою мінімізації негативного впливу наслідків військової агресії Російської Федерації проти України та сприяння стабільності ринків капіталу, Національна комісія з цінних паперів та фондового ринку </w:t>
      </w:r>
      <w:r w:rsidRPr="0017634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вирішила</w:t>
      </w:r>
      <w:r w:rsidRPr="00176347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:</w:t>
      </w:r>
    </w:p>
    <w:p w14:paraId="5E1F8606" w14:textId="77777777" w:rsidR="00CD5C02" w:rsidRDefault="00CD5C02" w:rsidP="00176347">
      <w:pPr>
        <w:shd w:val="clear" w:color="auto" w:fill="FFFFFF"/>
        <w:spacing w:after="0" w:line="240" w:lineRule="auto"/>
        <w:ind w:firstLine="567"/>
        <w:jc w:val="both"/>
        <w:rPr>
          <w:b/>
          <w:bCs/>
        </w:rPr>
      </w:pPr>
    </w:p>
    <w:p w14:paraId="24D4A9F1" w14:textId="008DE1E4" w:rsidR="00176347" w:rsidRPr="00CD5C02" w:rsidRDefault="00CD5C02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</w:pPr>
      <w:hyperlink r:id="rId14" w:tgtFrame="_top" w:history="1">
        <w:r w:rsidR="00176347" w:rsidRPr="00CD5C02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UA"/>
          </w:rPr>
          <w:t>1. Встановити, що тимчасово на період дії воєнного стану, моніторинг відповідності займаним посадам та вимогам, встановленим законодавством, у тому числі щодо ділової репутації здійснюється Національною комісією з цінних паперів та фондового ринку шляхом проведення оцінки відповідності займаним посадам у професійних учасниках ринків капіталу (крім банків) осіб на таких посадах:</w:t>
        </w:r>
      </w:hyperlink>
    </w:p>
    <w:p w14:paraId="0D884C0F" w14:textId="77777777" w:rsidR="00176347" w:rsidRPr="00CD5C02" w:rsidRDefault="00CD5C02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</w:pPr>
      <w:hyperlink r:id="rId15" w:tgtFrame="_top" w:history="1">
        <w:r w:rsidR="00176347" w:rsidRPr="00CD5C02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UA"/>
          </w:rPr>
          <w:t>голова, член наглядової ради або іншого органу, відповідального за здійснення нагляду;</w:t>
        </w:r>
      </w:hyperlink>
    </w:p>
    <w:p w14:paraId="40DA9631" w14:textId="77777777" w:rsidR="00176347" w:rsidRPr="00CD5C02" w:rsidRDefault="00CD5C02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UA"/>
        </w:rPr>
      </w:pPr>
      <w:hyperlink r:id="rId16" w:tgtFrame="_top" w:history="1">
        <w:r w:rsidR="00176347" w:rsidRPr="00CD5C02">
          <w:rPr>
            <w:rFonts w:ascii="Times New Roman" w:eastAsia="Times New Roman" w:hAnsi="Times New Roman" w:cs="Times New Roman"/>
            <w:i/>
            <w:iCs/>
            <w:sz w:val="28"/>
            <w:szCs w:val="28"/>
            <w:lang w:val="uk-UA" w:eastAsia="ru-UA"/>
          </w:rPr>
          <w:t>(абзац другий пункту 1 у редакції рішення Національної комісії</w:t>
        </w:r>
        <w:r w:rsidR="00176347" w:rsidRPr="00CD5C02">
          <w:rPr>
            <w:rFonts w:ascii="Times New Roman" w:eastAsia="Times New Roman" w:hAnsi="Times New Roman" w:cs="Times New Roman"/>
            <w:i/>
            <w:iCs/>
            <w:sz w:val="28"/>
            <w:szCs w:val="28"/>
            <w:lang w:val="uk-UA" w:eastAsia="ru-UA"/>
          </w:rPr>
          <w:br/>
          <w:t> з цінних паперів та фондового ринку від 06.03.2023 р. N 237)</w:t>
        </w:r>
      </w:hyperlink>
    </w:p>
    <w:p w14:paraId="1CC0BF3A" w14:textId="77777777" w:rsidR="00176347" w:rsidRPr="00CD5C02" w:rsidRDefault="00CD5C02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</w:pPr>
      <w:hyperlink r:id="rId17" w:tgtFrame="_top" w:history="1">
        <w:r w:rsidR="00176347" w:rsidRPr="00CD5C02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UA"/>
          </w:rPr>
          <w:t>голова колегіального виконавчого органу / особа, яка здійснює повноваження одноосібного виконавчого органу (далі - керівник);</w:t>
        </w:r>
      </w:hyperlink>
    </w:p>
    <w:p w14:paraId="2974DD5A" w14:textId="77777777" w:rsidR="00176347" w:rsidRPr="00CD5C02" w:rsidRDefault="00CD5C02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UA"/>
        </w:rPr>
      </w:pPr>
      <w:hyperlink r:id="rId18" w:tgtFrame="_top" w:history="1">
        <w:r w:rsidR="00176347" w:rsidRPr="00CD5C02">
          <w:rPr>
            <w:rFonts w:ascii="Times New Roman" w:eastAsia="Times New Roman" w:hAnsi="Times New Roman" w:cs="Times New Roman"/>
            <w:i/>
            <w:iCs/>
            <w:sz w:val="28"/>
            <w:szCs w:val="28"/>
            <w:lang w:val="uk-UA" w:eastAsia="ru-UA"/>
          </w:rPr>
          <w:t>(абзац третій пункту 1 у редакції рішення Національної комісії</w:t>
        </w:r>
        <w:r w:rsidR="00176347" w:rsidRPr="00CD5C02">
          <w:rPr>
            <w:rFonts w:ascii="Times New Roman" w:eastAsia="Times New Roman" w:hAnsi="Times New Roman" w:cs="Times New Roman"/>
            <w:i/>
            <w:iCs/>
            <w:sz w:val="28"/>
            <w:szCs w:val="28"/>
            <w:lang w:val="uk-UA" w:eastAsia="ru-UA"/>
          </w:rPr>
          <w:br/>
          <w:t> з цінних паперів та фондового ринку від 06.03.2023 р. N 237)</w:t>
        </w:r>
      </w:hyperlink>
    </w:p>
    <w:p w14:paraId="035C91E7" w14:textId="77777777" w:rsidR="00176347" w:rsidRPr="00CD5C02" w:rsidRDefault="00CD5C02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</w:pPr>
      <w:hyperlink r:id="rId19" w:tgtFrame="_top" w:history="1">
        <w:r w:rsidR="00176347" w:rsidRPr="00CD5C02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UA"/>
          </w:rPr>
          <w:t>член колегіального виконавчого органу.</w:t>
        </w:r>
      </w:hyperlink>
    </w:p>
    <w:p w14:paraId="1155F3FB" w14:textId="77777777" w:rsidR="00176347" w:rsidRPr="00CD5C02" w:rsidRDefault="00CD5C02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UA"/>
        </w:rPr>
      </w:pPr>
      <w:hyperlink r:id="rId20" w:tgtFrame="_top" w:history="1">
        <w:r w:rsidR="00176347" w:rsidRPr="00CD5C02">
          <w:rPr>
            <w:rFonts w:ascii="Times New Roman" w:eastAsia="Times New Roman" w:hAnsi="Times New Roman" w:cs="Times New Roman"/>
            <w:i/>
            <w:iCs/>
            <w:sz w:val="28"/>
            <w:szCs w:val="28"/>
            <w:lang w:val="uk-UA" w:eastAsia="ru-UA"/>
          </w:rPr>
          <w:t>(абзац четвертий пункту 1 у редакції рішення Національної комісії</w:t>
        </w:r>
        <w:r w:rsidR="00176347" w:rsidRPr="00CD5C02">
          <w:rPr>
            <w:rFonts w:ascii="Times New Roman" w:eastAsia="Times New Roman" w:hAnsi="Times New Roman" w:cs="Times New Roman"/>
            <w:i/>
            <w:iCs/>
            <w:sz w:val="28"/>
            <w:szCs w:val="28"/>
            <w:lang w:val="uk-UA" w:eastAsia="ru-UA"/>
          </w:rPr>
          <w:br/>
          <w:t> з цінних паперів та фондового ринку від 06.03.2023 р. N 237)</w:t>
        </w:r>
      </w:hyperlink>
    </w:p>
    <w:p w14:paraId="297DAC57" w14:textId="77777777" w:rsidR="00176347" w:rsidRPr="00176347" w:rsidRDefault="00CD5C02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hyperlink r:id="rId21" w:tgtFrame="_top" w:history="1"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(пункт 1 у редакції рішення Національної комісії з</w:t>
        </w:r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br/>
          <w:t> цінних паперів та фондового ринку від 25.01.2023 р. N 91)</w:t>
        </w:r>
      </w:hyperlink>
    </w:p>
    <w:p w14:paraId="6B5A13C3" w14:textId="77777777" w:rsidR="00CD5C02" w:rsidRDefault="00CD5C02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</w:p>
    <w:p w14:paraId="55495C5F" w14:textId="07A8A1F6" w:rsidR="00176347" w:rsidRPr="00176347" w:rsidRDefault="00176347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r w:rsidRPr="00176347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2. Встановити, що тимчасово на період дії воєнного стану норми Порядку погодження кандидатур керівників фондових бірж і вимог до таких керівників під час їх перебування на посаді, затвердженого </w:t>
      </w:r>
      <w:hyperlink r:id="rId22" w:tgtFrame="_top" w:history="1">
        <w:r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 xml:space="preserve">рішенням Національної </w:t>
        </w:r>
        <w:r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lastRenderedPageBreak/>
          <w:t>комісії з цінних паперів та фондового ринку від 22 січня 2013 року N 64</w:t>
        </w:r>
      </w:hyperlink>
      <w:r w:rsidRPr="00176347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, зареєстрованого в Міністерстві юстиції України 14 лютого 2013 року, не застосовуються.</w:t>
      </w:r>
    </w:p>
    <w:p w14:paraId="2162A5A2" w14:textId="77777777" w:rsidR="00CD5C02" w:rsidRDefault="00CD5C02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</w:p>
    <w:p w14:paraId="7A698F63" w14:textId="5452BEDC" w:rsidR="00176347" w:rsidRDefault="00176347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</w:pPr>
      <w:r w:rsidRPr="00176347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3. </w:t>
      </w:r>
      <w:r w:rsidRPr="00CD5C0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 xml:space="preserve">Затвердити Порядок здійснення НКЦПФР моніторингу відповідності осіб займаним посадам у період дії воєнного стану (далі </w:t>
      </w:r>
      <w:r w:rsidR="00CD5C0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–</w:t>
      </w:r>
      <w:r w:rsidRPr="00CD5C0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 xml:space="preserve"> Порядок), що додається.</w:t>
      </w:r>
    </w:p>
    <w:p w14:paraId="2FA490E8" w14:textId="77777777" w:rsidR="00CD5C02" w:rsidRPr="00CD5C02" w:rsidRDefault="00CD5C02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</w:pPr>
    </w:p>
    <w:p w14:paraId="3EAEB1DD" w14:textId="77777777" w:rsidR="00176347" w:rsidRPr="00CD5C02" w:rsidRDefault="00CD5C02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</w:pPr>
      <w:hyperlink r:id="rId23" w:tgtFrame="_top" w:history="1">
        <w:r w:rsidR="00176347" w:rsidRPr="00CD5C02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UA"/>
          </w:rPr>
          <w:t>4. Встановити, що тимчасово на період дії воєнного стану не застосовуються норми ліцензійних умов провадження професійної діяльності на ринках капіталу та організованих товарних ринках за її окремими видами щодо:</w:t>
        </w:r>
      </w:hyperlink>
    </w:p>
    <w:p w14:paraId="4EEA5083" w14:textId="77777777" w:rsidR="00176347" w:rsidRPr="00CD5C02" w:rsidRDefault="00CD5C02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</w:pPr>
      <w:hyperlink r:id="rId24" w:tgtFrame="_top" w:history="1">
        <w:r w:rsidR="00176347" w:rsidRPr="00CD5C02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UA"/>
          </w:rPr>
          <w:t>необхідної кількості сертифікованих фахівців ліцензіата;</w:t>
        </w:r>
      </w:hyperlink>
    </w:p>
    <w:p w14:paraId="0E1F9AA5" w14:textId="296A561D" w:rsidR="00176347" w:rsidRPr="00CD5C02" w:rsidRDefault="00CD5C02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</w:pPr>
      <w:hyperlink r:id="rId25" w:tgtFrame="_top" w:history="1">
        <w:r w:rsidR="00176347" w:rsidRPr="00CD5C02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UA"/>
          </w:rPr>
          <w:t>наявності сертифікатів на право вчинення дій, пов</w:t>
        </w:r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UA"/>
          </w:rPr>
          <w:t>’</w:t>
        </w:r>
        <w:r w:rsidR="00176347" w:rsidRPr="00CD5C02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UA"/>
          </w:rPr>
          <w:t>язаних з безпосереднім провадженням професійної діяльності на ринках капіталу та організованих товарних ринках;</w:t>
        </w:r>
      </w:hyperlink>
    </w:p>
    <w:p w14:paraId="6D7C5261" w14:textId="77777777" w:rsidR="00176347" w:rsidRPr="00176347" w:rsidRDefault="00CD5C02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hyperlink r:id="rId26" w:tgtFrame="_top" w:history="1">
        <w:r w:rsidR="00176347" w:rsidRPr="00CD5C02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UA"/>
          </w:rPr>
          <w:t>наявності кваліфікаційного посвідчення фахівця з питань бухгалтерського обліку професійних учасників ринків капіталу та організованих товарних ринків</w:t>
        </w:r>
      </w:hyperlink>
      <w:hyperlink r:id="rId27" w:tgtFrame="_top" w:history="1"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;</w:t>
        </w:r>
      </w:hyperlink>
    </w:p>
    <w:p w14:paraId="5571340B" w14:textId="02DA6ACA" w:rsidR="00176347" w:rsidRPr="00176347" w:rsidRDefault="00CD5C02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hyperlink r:id="rId28" w:tgtFrame="_top" w:history="1"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(абзац перший пункту 4 замінено чотирма новими абзацами згідно з</w:t>
        </w:r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br/>
          <w:t> рішенням Національної комісії з цінних паперів та фондового ринку</w:t>
        </w:r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br/>
          <w:t> від 25.01.2023 р. N 91,</w:t>
        </w:r>
        <w:r w:rsidR="006F38F2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 xml:space="preserve"> </w:t>
        </w:r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у зв</w:t>
        </w:r>
        <w:r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’</w:t>
        </w:r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язку з цим абзац другий вважати абзацом п</w:t>
        </w:r>
        <w:r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’</w:t>
        </w:r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ятим)</w:t>
        </w:r>
      </w:hyperlink>
    </w:p>
    <w:p w14:paraId="72E67DE8" w14:textId="6B95FB68" w:rsidR="00176347" w:rsidRPr="00CD5C02" w:rsidRDefault="00CD5C02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</w:pPr>
      <w:hyperlink r:id="rId29" w:tgtFrame="_top" w:history="1">
        <w:r w:rsidR="00176347" w:rsidRPr="00CD5C02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UA"/>
          </w:rPr>
          <w:t>строку, на який може бути призначена особа, яка виконує обов</w:t>
        </w:r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UA"/>
          </w:rPr>
          <w:t>’</w:t>
        </w:r>
        <w:r w:rsidR="00176347" w:rsidRPr="00CD5C02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UA"/>
          </w:rPr>
          <w:t>язки керівника.</w:t>
        </w:r>
      </w:hyperlink>
    </w:p>
    <w:p w14:paraId="0F792D69" w14:textId="322F3597" w:rsidR="00176347" w:rsidRPr="00176347" w:rsidRDefault="00CD5C02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hyperlink r:id="rId30" w:tgtFrame="_top" w:history="1"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(пункт 4 доповнено новим абзацом п</w:t>
        </w:r>
        <w:r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’</w:t>
        </w:r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ятим згідно з</w:t>
        </w:r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br/>
          <w:t> рішенням Національної комісії з цінних паперів та фондового ринку</w:t>
        </w:r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br/>
          <w:t> від 06.03.2023 р. N 237,</w:t>
        </w:r>
        <w:r w:rsidR="006F38F2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 xml:space="preserve"> </w:t>
        </w:r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у зв</w:t>
        </w:r>
        <w:r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’</w:t>
        </w:r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язку з цим абзац п</w:t>
        </w:r>
        <w:r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’</w:t>
        </w:r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ятий вважати абзацом шостим)</w:t>
        </w:r>
      </w:hyperlink>
    </w:p>
    <w:p w14:paraId="36CFE000" w14:textId="03A997C2" w:rsidR="00176347" w:rsidRPr="00CD5C02" w:rsidRDefault="00176347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</w:pPr>
      <w:r w:rsidRPr="00CD5C0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Керівник професійного учасника ринків капіталу та організованих товарних ринків (крім банків) повинен забезпечити наявність належної кваліфікації, ділової репутації та відсутність конфлікту інтересів у працівників, які вчиняють дії, пов</w:t>
      </w:r>
      <w:r w:rsidR="00CD5C0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’</w:t>
      </w:r>
      <w:r w:rsidRPr="00CD5C0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язані з безпосереднім провадженням професійної діяльності на ринках капіталу та організованих товарних ринках.</w:t>
      </w:r>
    </w:p>
    <w:p w14:paraId="615743F4" w14:textId="77777777" w:rsidR="00CD5C02" w:rsidRDefault="00CD5C02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</w:p>
    <w:p w14:paraId="5FD12515" w14:textId="5757E0C8" w:rsidR="00176347" w:rsidRPr="00CD5C02" w:rsidRDefault="00176347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</w:pPr>
      <w:r w:rsidRPr="00CD5C0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5. Встановити, що у період дії воєнного стану та до 90 днів після його завершення, вважаються такими, дія яких подовжена, наступні документи:</w:t>
      </w:r>
    </w:p>
    <w:p w14:paraId="75888299" w14:textId="77777777" w:rsidR="00176347" w:rsidRPr="00176347" w:rsidRDefault="00176347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r w:rsidRPr="00CD5C0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кваліфікаційне посвідчення</w:t>
      </w:r>
      <w:r w:rsidRPr="00176347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фахівця з питань бухгалтерського обліку професійних учасників ринків капіталу та організованих товарних ринків;</w:t>
      </w:r>
    </w:p>
    <w:p w14:paraId="11071DF9" w14:textId="5437AF57" w:rsidR="00176347" w:rsidRPr="00176347" w:rsidRDefault="00176347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r w:rsidRPr="00CD5C0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сертифікат на право вчинення дій</w:t>
      </w:r>
      <w:r w:rsidRPr="00176347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, пов</w:t>
      </w:r>
      <w:r w:rsidR="00CD5C02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’</w:t>
      </w:r>
      <w:r w:rsidRPr="00176347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язаних з безпосереднім провадженням професійної діяльності на ринках капіталу та організованих товарних ринках.</w:t>
      </w:r>
    </w:p>
    <w:p w14:paraId="6B863391" w14:textId="77777777" w:rsidR="00CD5C02" w:rsidRDefault="00CD5C02" w:rsidP="00176347">
      <w:pPr>
        <w:shd w:val="clear" w:color="auto" w:fill="FFFFFF"/>
        <w:spacing w:after="0" w:line="240" w:lineRule="auto"/>
        <w:ind w:firstLine="567"/>
        <w:jc w:val="both"/>
      </w:pPr>
    </w:p>
    <w:p w14:paraId="59158CA2" w14:textId="1C2FA97F" w:rsidR="00176347" w:rsidRPr="00176347" w:rsidRDefault="00CD5C02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hyperlink r:id="rId31" w:tgtFrame="_top" w:history="1"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 xml:space="preserve">6. Фізичні особи, які обрані/призначені на посади, зазначені у пункті 1 цього рішення, професійні учасники ринків капіталу (крім банків) після </w:t>
        </w:r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lastRenderedPageBreak/>
          <w:t>набрання чинності цим рішенням повинні виконувати дії відповідно до вимог Порядку та в установлені ним строки.</w:t>
        </w:r>
      </w:hyperlink>
    </w:p>
    <w:p w14:paraId="2AC0FF04" w14:textId="77777777" w:rsidR="00176347" w:rsidRPr="00176347" w:rsidRDefault="00CD5C02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hyperlink r:id="rId32" w:tgtFrame="_top" w:history="1"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(пункт 6 у редакції рішення Національної комісії з</w:t>
        </w:r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br/>
          <w:t> цінних паперів та фондового ринку від 25.01.2023 р. N 91)</w:t>
        </w:r>
      </w:hyperlink>
    </w:p>
    <w:p w14:paraId="29F1B78F" w14:textId="77777777" w:rsidR="00CD5C02" w:rsidRDefault="00CD5C02" w:rsidP="00176347">
      <w:pPr>
        <w:shd w:val="clear" w:color="auto" w:fill="FFFFFF"/>
        <w:spacing w:after="0" w:line="240" w:lineRule="auto"/>
        <w:ind w:firstLine="567"/>
        <w:jc w:val="both"/>
      </w:pPr>
    </w:p>
    <w:p w14:paraId="4903FFF7" w14:textId="167537FE" w:rsidR="00176347" w:rsidRPr="00176347" w:rsidRDefault="00CD5C02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hyperlink r:id="rId33" w:tgtFrame="_top" w:history="1"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7. Пункт 7 виключено</w:t>
        </w:r>
      </w:hyperlink>
    </w:p>
    <w:p w14:paraId="397F7375" w14:textId="729FB751" w:rsidR="00176347" w:rsidRPr="00176347" w:rsidRDefault="00CD5C02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hyperlink r:id="rId34" w:tgtFrame="_top" w:history="1"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(згідно з рішенням Національної комісії з цінних</w:t>
        </w:r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br/>
          <w:t> паперів та фондового ринку від 25.01.2023 р. N 91,</w:t>
        </w:r>
        <w:r w:rsidR="006F38F2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 xml:space="preserve"> </w:t>
        </w:r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у зв</w:t>
        </w:r>
        <w:r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’</w:t>
        </w:r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 xml:space="preserve">язку з цим пункти 8 </w:t>
        </w:r>
        <w:r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–</w:t>
        </w:r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 xml:space="preserve"> 10 вважати відповідно пунктами 7 </w:t>
        </w:r>
        <w:r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–</w:t>
        </w:r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 xml:space="preserve"> 9)</w:t>
        </w:r>
      </w:hyperlink>
    </w:p>
    <w:p w14:paraId="754F5C1E" w14:textId="77777777" w:rsidR="00CD5C02" w:rsidRDefault="00CD5C02" w:rsidP="00176347">
      <w:pPr>
        <w:shd w:val="clear" w:color="auto" w:fill="FFFFFF"/>
        <w:spacing w:after="0" w:line="240" w:lineRule="auto"/>
        <w:ind w:firstLine="567"/>
        <w:jc w:val="both"/>
      </w:pPr>
    </w:p>
    <w:p w14:paraId="697D2957" w14:textId="47C3DEA9" w:rsidR="00176347" w:rsidRPr="00176347" w:rsidRDefault="00CD5C02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hyperlink r:id="rId35" w:tgtFrame="_top" w:history="1"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7.</w:t>
        </w:r>
      </w:hyperlink>
      <w:r w:rsidR="00176347" w:rsidRPr="00176347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 Визнати таким, що втратило чинність, </w:t>
      </w:r>
      <w:hyperlink r:id="rId36" w:tgtFrame="_top" w:history="1"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 xml:space="preserve">рішення Національної комісії з цінних паперів та фондового ринку від 27.10.2022 N 1272 </w:t>
        </w:r>
        <w:r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«</w:t>
        </w:r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Про погодження осіб (кандидатів) на посади у професійних учасниках ринків капіталу та організованих товарних ринків у період дії воєнного стану</w:t>
        </w:r>
        <w:r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»</w:t>
        </w:r>
      </w:hyperlink>
      <w:r w:rsidR="00176347" w:rsidRPr="00176347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.</w:t>
      </w:r>
    </w:p>
    <w:p w14:paraId="01A7E6A5" w14:textId="77777777" w:rsidR="00176347" w:rsidRPr="00176347" w:rsidRDefault="00CD5C02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hyperlink r:id="rId37" w:tgtFrame="_top" w:history="1"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8.</w:t>
        </w:r>
      </w:hyperlink>
      <w:r w:rsidR="00176347" w:rsidRPr="00176347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 Це рішення набирає чинності з дня, наступного за днем його офіційного опублікування на офіційному </w:t>
      </w:r>
      <w:proofErr w:type="spellStart"/>
      <w:r w:rsidR="00176347" w:rsidRPr="00176347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вебсайті</w:t>
      </w:r>
      <w:proofErr w:type="spellEnd"/>
      <w:r w:rsidR="00176347" w:rsidRPr="00176347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Національної комісії з цінних паперів та фондового ринку.</w:t>
      </w:r>
    </w:p>
    <w:p w14:paraId="2147FAF8" w14:textId="77777777" w:rsidR="00176347" w:rsidRPr="00176347" w:rsidRDefault="00CD5C02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hyperlink r:id="rId38" w:tgtFrame="_top" w:history="1"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9. Контроль за виконанням цього рішення покласти на членів Національної комісії з цінних паперів та фондового ринку відповідно до розподілу їх повноважень.</w:t>
        </w:r>
      </w:hyperlink>
    </w:p>
    <w:p w14:paraId="6173CA51" w14:textId="77777777" w:rsidR="00176347" w:rsidRPr="00176347" w:rsidRDefault="00CD5C02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hyperlink r:id="rId39" w:tgtFrame="_top" w:history="1"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(пункт 9 у редакції рішення Національної комісії з</w:t>
        </w:r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br/>
          <w:t> цінних паперів та фондового ринку від 25.01.2023 р. N 91)</w:t>
        </w:r>
      </w:hyperlink>
    </w:p>
    <w:p w14:paraId="3225830B" w14:textId="77777777" w:rsidR="00176347" w:rsidRPr="00176347" w:rsidRDefault="00176347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r w:rsidRPr="00176347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76347" w:rsidRPr="00176347" w14:paraId="565C05B2" w14:textId="77777777" w:rsidTr="00176347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2117A8" w14:textId="77777777" w:rsidR="00176347" w:rsidRPr="00176347" w:rsidRDefault="00176347" w:rsidP="001763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</w:pPr>
            <w:r w:rsidRPr="00176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UA"/>
              </w:rPr>
              <w:t>Голова Комісії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957FFD" w14:textId="77777777" w:rsidR="00176347" w:rsidRPr="00176347" w:rsidRDefault="00176347" w:rsidP="001763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</w:pPr>
            <w:r w:rsidRPr="00176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UA"/>
              </w:rPr>
              <w:t>Руслан МАГОМЕДОВ</w:t>
            </w:r>
          </w:p>
        </w:tc>
      </w:tr>
    </w:tbl>
    <w:p w14:paraId="23535003" w14:textId="77777777" w:rsidR="00176347" w:rsidRPr="00176347" w:rsidRDefault="00176347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r w:rsidRPr="00176347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 </w:t>
      </w:r>
    </w:p>
    <w:p w14:paraId="4E314E78" w14:textId="77777777" w:rsidR="00176347" w:rsidRPr="00176347" w:rsidRDefault="00176347" w:rsidP="006F38F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r w:rsidRPr="00176347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Протокол засідання Комісії</w:t>
      </w:r>
      <w:r w:rsidRPr="00176347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br/>
        <w:t>від 11 листопада 2022 р. N 179</w:t>
      </w:r>
    </w:p>
    <w:p w14:paraId="549C2117" w14:textId="638238BD" w:rsidR="00176347" w:rsidRPr="00176347" w:rsidRDefault="00176347" w:rsidP="006F38F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</w:p>
    <w:p w14:paraId="315F851E" w14:textId="4F93E81D" w:rsidR="00176347" w:rsidRPr="00176347" w:rsidRDefault="00CD5C02" w:rsidP="006F38F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hyperlink r:id="rId40" w:tgtFrame="_top" w:history="1"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ЗАТВЕРДЖЕНО</w:t>
        </w:r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br/>
          <w:t>Рішення Національної комісії з цінних паперів та фондового ринку</w:t>
        </w:r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br/>
          <w:t>11 листопада 2022 року N 1339</w:t>
        </w:r>
        <w:r w:rsidR="006F38F2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 xml:space="preserve"> </w:t>
        </w:r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(у редакції рішення Національної комісії з цінних паперів та фондового ринку</w:t>
        </w:r>
        <w:r w:rsidR="006F38F2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 xml:space="preserve"> </w:t>
        </w:r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від 25 січня 2023 року N 91)</w:t>
        </w:r>
      </w:hyperlink>
      <w:r w:rsidR="006F38F2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</w:t>
      </w:r>
      <w:hyperlink r:id="rId41" w:tgtFrame="_top" w:history="1"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(гриф</w:t>
        </w:r>
        <w:r w:rsidR="006F38F2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 xml:space="preserve"> </w:t>
        </w:r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затвердження у редакції рішення Національної комісії</w:t>
        </w:r>
        <w:r w:rsidR="006F38F2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 xml:space="preserve"> </w:t>
        </w:r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 з цінних паперів та фондового ринку від 24.03.2023 р. N 350)</w:t>
        </w:r>
      </w:hyperlink>
    </w:p>
    <w:p w14:paraId="42E7A9C8" w14:textId="77777777" w:rsidR="006F38F2" w:rsidRDefault="006F38F2" w:rsidP="006F38F2">
      <w:pPr>
        <w:shd w:val="clear" w:color="auto" w:fill="FFFFFF"/>
        <w:spacing w:after="0" w:line="240" w:lineRule="auto"/>
        <w:ind w:firstLine="567"/>
        <w:jc w:val="center"/>
        <w:outlineLvl w:val="2"/>
      </w:pPr>
    </w:p>
    <w:p w14:paraId="388290CA" w14:textId="783C787F" w:rsidR="00176347" w:rsidRPr="00176347" w:rsidRDefault="00CD5C02" w:rsidP="006F38F2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</w:pPr>
      <w:hyperlink r:id="rId42" w:tgtFrame="_top" w:history="1">
        <w:r w:rsidR="00176347" w:rsidRPr="00176347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UA"/>
          </w:rPr>
          <w:t>Порядок</w:t>
        </w:r>
        <w:r w:rsidR="00176347" w:rsidRPr="00176347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UA"/>
          </w:rPr>
          <w:br/>
          <w:t>здійснення НКЦПФР моніторингу відповідності осіб займаним посадам у період дії воєнного стану</w:t>
        </w:r>
      </w:hyperlink>
    </w:p>
    <w:p w14:paraId="03F95467" w14:textId="4041E0DF" w:rsidR="00176347" w:rsidRPr="00CD5C02" w:rsidRDefault="00CD5C02" w:rsidP="00CD5C0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</w:pPr>
      <w:hyperlink r:id="rId43" w:tgtFrame="_top" w:history="1">
        <w:r w:rsidR="00176347" w:rsidRPr="00CD5C02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UA"/>
          </w:rPr>
          <w:t>Загальні положення</w:t>
        </w:r>
      </w:hyperlink>
    </w:p>
    <w:p w14:paraId="0F279DAE" w14:textId="6133F7B7" w:rsidR="00176347" w:rsidRPr="00CD5C02" w:rsidRDefault="00CD5C02" w:rsidP="00CD5C0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hyperlink r:id="rId44" w:tgtFrame="_top" w:history="1">
        <w:r w:rsidR="00176347" w:rsidRPr="00CD5C02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 xml:space="preserve">Цим Порядком Національною комісією з цінних паперів та фондового ринку встановлюється порядок здійснення НКЦПФР моніторингу відповідності займаній посаді у професійному учаснику ринків капіталу (крім банків) (далі </w:t>
        </w:r>
        <w:r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–</w:t>
        </w:r>
        <w:r w:rsidR="00176347" w:rsidRPr="00CD5C02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 xml:space="preserve"> професійний учасник, ліцензіат) осіб на таких посадах:</w:t>
        </w:r>
      </w:hyperlink>
    </w:p>
    <w:p w14:paraId="7DD8E0C4" w14:textId="77777777" w:rsidR="00176347" w:rsidRPr="00176347" w:rsidRDefault="00CD5C02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hyperlink r:id="rId45" w:tgtFrame="_top" w:history="1"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голова, член наглядової ради або іншого органу, відповідального за здійснення нагляду;</w:t>
        </w:r>
      </w:hyperlink>
    </w:p>
    <w:p w14:paraId="0433C721" w14:textId="6C7CEA7E" w:rsidR="00176347" w:rsidRPr="00176347" w:rsidRDefault="00CD5C02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hyperlink r:id="rId46" w:tgtFrame="_top" w:history="1"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 xml:space="preserve">голова колегіального виконавчого органу/особа, яка здійснює повноваження одноосібного виконавчого органу (далі </w:t>
        </w:r>
        <w:r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–</w:t>
        </w:r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 xml:space="preserve"> керівник);</w:t>
        </w:r>
      </w:hyperlink>
    </w:p>
    <w:p w14:paraId="516ADD48" w14:textId="77777777" w:rsidR="00176347" w:rsidRPr="00176347" w:rsidRDefault="00CD5C02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hyperlink r:id="rId47" w:tgtFrame="_top" w:history="1"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член колегіального виконавчого органу.</w:t>
        </w:r>
      </w:hyperlink>
    </w:p>
    <w:p w14:paraId="0BB7F803" w14:textId="363309B5" w:rsidR="00176347" w:rsidRPr="00CD5C02" w:rsidRDefault="00CD5C02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</w:pPr>
      <w:hyperlink r:id="rId48" w:tgtFrame="_top" w:history="1">
        <w:r w:rsidR="00176347" w:rsidRPr="00CD5C02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UA"/>
          </w:rPr>
          <w:t>Цей Порядок поширюється також на особу, яка виконує обов</w:t>
        </w:r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UA"/>
          </w:rPr>
          <w:t>’</w:t>
        </w:r>
        <w:r w:rsidR="00176347" w:rsidRPr="00CD5C02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UA"/>
          </w:rPr>
          <w:t>язки керівника, у разі необрання/</w:t>
        </w:r>
        <w:proofErr w:type="spellStart"/>
        <w:r w:rsidR="00176347" w:rsidRPr="00CD5C02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UA"/>
          </w:rPr>
          <w:t>непризначення</w:t>
        </w:r>
        <w:proofErr w:type="spellEnd"/>
        <w:r w:rsidR="00176347" w:rsidRPr="00CD5C02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UA"/>
          </w:rPr>
          <w:t xml:space="preserve"> керівника в установленому законодавством порядку, а також на особу, яку призначено тимчасово виконувати обов</w:t>
        </w:r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UA"/>
          </w:rPr>
          <w:t>’</w:t>
        </w:r>
        <w:r w:rsidR="00176347" w:rsidRPr="00CD5C02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UA"/>
          </w:rPr>
          <w:t>язки керівника, у випадку, передбаченому пунктом 8 цього розділу.</w:t>
        </w:r>
      </w:hyperlink>
    </w:p>
    <w:p w14:paraId="2BB2514D" w14:textId="57484211" w:rsidR="00176347" w:rsidRPr="00CD5C02" w:rsidRDefault="00CD5C02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UA"/>
        </w:rPr>
      </w:pPr>
      <w:hyperlink r:id="rId49" w:tgtFrame="_top" w:history="1">
        <w:r w:rsidR="00176347" w:rsidRPr="00CD5C02">
          <w:rPr>
            <w:rFonts w:ascii="Times New Roman" w:eastAsia="Times New Roman" w:hAnsi="Times New Roman" w:cs="Times New Roman"/>
            <w:i/>
            <w:iCs/>
            <w:sz w:val="28"/>
            <w:szCs w:val="28"/>
            <w:lang w:val="uk-UA" w:eastAsia="ru-UA"/>
          </w:rPr>
          <w:t xml:space="preserve">(абзаци другий </w:t>
        </w:r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lang w:val="uk-UA" w:eastAsia="ru-UA"/>
          </w:rPr>
          <w:t>–</w:t>
        </w:r>
        <w:r w:rsidR="00176347" w:rsidRPr="00CD5C02">
          <w:rPr>
            <w:rFonts w:ascii="Times New Roman" w:eastAsia="Times New Roman" w:hAnsi="Times New Roman" w:cs="Times New Roman"/>
            <w:i/>
            <w:iCs/>
            <w:sz w:val="28"/>
            <w:szCs w:val="28"/>
            <w:lang w:val="uk-UA" w:eastAsia="ru-UA"/>
          </w:rPr>
          <w:t xml:space="preserve"> четвертий пункту 1 розділу I замінено</w:t>
        </w:r>
        <w:r w:rsidR="00176347" w:rsidRPr="00CD5C02">
          <w:rPr>
            <w:rFonts w:ascii="Times New Roman" w:eastAsia="Times New Roman" w:hAnsi="Times New Roman" w:cs="Times New Roman"/>
            <w:i/>
            <w:iCs/>
            <w:sz w:val="28"/>
            <w:szCs w:val="28"/>
            <w:lang w:val="uk-UA" w:eastAsia="ru-UA"/>
          </w:rPr>
          <w:br/>
          <w:t> чотирма абзацами згідно з рішенням Національної комісії з</w:t>
        </w:r>
        <w:r w:rsidR="00176347" w:rsidRPr="00CD5C02">
          <w:rPr>
            <w:rFonts w:ascii="Times New Roman" w:eastAsia="Times New Roman" w:hAnsi="Times New Roman" w:cs="Times New Roman"/>
            <w:i/>
            <w:iCs/>
            <w:sz w:val="28"/>
            <w:szCs w:val="28"/>
            <w:lang w:val="uk-UA" w:eastAsia="ru-UA"/>
          </w:rPr>
          <w:br/>
          <w:t> цінних паперів та фондового ринку від 06.03.2023 р. N 237)</w:t>
        </w:r>
      </w:hyperlink>
    </w:p>
    <w:p w14:paraId="1E0A9799" w14:textId="77777777" w:rsidR="00CD5C02" w:rsidRDefault="00CD5C02" w:rsidP="00176347">
      <w:pPr>
        <w:shd w:val="clear" w:color="auto" w:fill="FFFFFF"/>
        <w:spacing w:after="0" w:line="240" w:lineRule="auto"/>
        <w:ind w:firstLine="567"/>
        <w:jc w:val="both"/>
      </w:pPr>
    </w:p>
    <w:p w14:paraId="72E5B203" w14:textId="607906E6" w:rsidR="00176347" w:rsidRPr="00176347" w:rsidRDefault="00CD5C02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hyperlink r:id="rId50" w:tgtFrame="_top" w:history="1"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2. Структурні підрозділи НКЦПФР, до компетенції яких належить забезпечення здійснення процесу ліцензування за відповідним видом професійної діяльності на ринках капіталу, визначаються відповідальними за проведення процедур, визначених цим Порядком (далі - структурний підрозділ).</w:t>
        </w:r>
      </w:hyperlink>
    </w:p>
    <w:p w14:paraId="586FFD6A" w14:textId="77777777" w:rsidR="00CD5C02" w:rsidRDefault="00CD5C02" w:rsidP="00176347">
      <w:pPr>
        <w:shd w:val="clear" w:color="auto" w:fill="FFFFFF"/>
        <w:spacing w:after="0" w:line="240" w:lineRule="auto"/>
        <w:ind w:firstLine="567"/>
        <w:jc w:val="both"/>
      </w:pPr>
    </w:p>
    <w:p w14:paraId="70EB2262" w14:textId="0A1B67F6" w:rsidR="00176347" w:rsidRPr="00176347" w:rsidRDefault="00CD5C02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hyperlink r:id="rId51" w:tgtFrame="_top" w:history="1"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3. У цьому Порядку терміни вживаються в такому значенні:</w:t>
        </w:r>
      </w:hyperlink>
    </w:p>
    <w:p w14:paraId="07930F34" w14:textId="77777777" w:rsidR="00176347" w:rsidRPr="00176347" w:rsidRDefault="00CD5C02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hyperlink r:id="rId52" w:tgtFrame="_top" w:history="1"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професійне судження - умотивований, об'єктивний, неупереджений і обґрунтований висновок та/або оцінка НКЦПФР щодо фактів, подій, обставин, осіб, що ґрунтується на знаннях і досвіді службовців НКЦПФР, на комплексному та всебічному аналізі інформації та документів, поданих до НКЦПФР і отриманих НКЦПФР, у тому числі в результаті здійснення нею державного регулювання та нагляду, а також на інформації з офіційних джерел;</w:t>
        </w:r>
      </w:hyperlink>
    </w:p>
    <w:p w14:paraId="2FBAEC46" w14:textId="77777777" w:rsidR="00176347" w:rsidRPr="00176347" w:rsidRDefault="00CD5C02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hyperlink r:id="rId53" w:tgtFrame="_top" w:history="1"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стандарт корпоративного управління - Стандарт N 1 "Корпоративне управління в професійних учасниках ринків капіталу та організованих товарних ринків. Основні поняття та терміни", затверджений</w:t>
        </w:r>
      </w:hyperlink>
      <w:r w:rsidR="00176347" w:rsidRPr="00176347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 </w:t>
      </w:r>
      <w:hyperlink r:id="rId54" w:tgtFrame="_top" w:history="1"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рішенням НКЦПФР від 30.12.2021 N 1288</w:t>
        </w:r>
      </w:hyperlink>
      <w:hyperlink r:id="rId55" w:tgtFrame="_top" w:history="1"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, зареєстрований у Міністерстві юстиції України 28.02.2022 за N 261/37597, Стандарт N 2 "Корпоративне управління в професійних учасниках ринків капіталу та організованих товарних ринків. Організація та функціонування системи внутрішнього контролю в професійних учасниках, які є підприємствами, що становлять суспільний інтерес та які не є банками", затверджений</w:t>
        </w:r>
      </w:hyperlink>
      <w:r w:rsidR="00176347" w:rsidRPr="00176347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 </w:t>
      </w:r>
      <w:hyperlink r:id="rId56" w:tgtFrame="_top" w:history="1"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рішенням НКЦПФР від 30.12.2021 N 1289</w:t>
        </w:r>
      </w:hyperlink>
      <w:hyperlink r:id="rId57" w:tgtFrame="_top" w:history="1"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, зареєстрований у Міністерстві юстиції України 28.02.2022 за N 258/37594, Стандарт N 3 "Корпоративне управління в професійних учасниках ринків капіталу та організованих товарних ринків. Організація та функціонування системи внутрішнього контролю в професійних учасниках, які є системно важливими професійними учасниками та які не є банками", затверджений</w:t>
        </w:r>
      </w:hyperlink>
      <w:r w:rsidR="00176347" w:rsidRPr="00176347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 </w:t>
      </w:r>
      <w:hyperlink r:id="rId58" w:tgtFrame="_top" w:history="1"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рішенням НКЦПФР від 30.12.2021 N 1290</w:t>
        </w:r>
      </w:hyperlink>
      <w:hyperlink r:id="rId59" w:tgtFrame="_top" w:history="1"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 xml:space="preserve">, зареєстрований у Міністерстві юстиції України 28.02.2022 за N 267/37603, та Стандарт N 4 "Корпоративне управління в професійних учасниках ринків капіталу та </w:t>
        </w:r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lastRenderedPageBreak/>
          <w:t>організованих товарних ринків. Організація та функціонування системи внутрішнього контролю в професійних учасниках, які не належать до підприємств, що становлять суспільний інтерес та до системно важливих професійних учасників", затверджений</w:t>
        </w:r>
      </w:hyperlink>
      <w:r w:rsidR="00176347" w:rsidRPr="00176347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 </w:t>
      </w:r>
      <w:hyperlink r:id="rId60" w:tgtFrame="_top" w:history="1"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рішенням НКЦПФР від 30.12.2021 N 1291</w:t>
        </w:r>
      </w:hyperlink>
      <w:hyperlink r:id="rId61" w:tgtFrame="_top" w:history="1"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, зареєстрований у Міністерстві юстиції України 28.02.2022 за N 263/37599 (далі - Стандарти).</w:t>
        </w:r>
      </w:hyperlink>
    </w:p>
    <w:p w14:paraId="1C9E712D" w14:textId="77777777" w:rsidR="00CD5C02" w:rsidRDefault="00CD5C02" w:rsidP="00176347">
      <w:pPr>
        <w:shd w:val="clear" w:color="auto" w:fill="FFFFFF"/>
        <w:spacing w:after="0" w:line="240" w:lineRule="auto"/>
        <w:ind w:firstLine="567"/>
        <w:jc w:val="both"/>
      </w:pPr>
    </w:p>
    <w:p w14:paraId="3106FD9E" w14:textId="5B59BC6C" w:rsidR="00176347" w:rsidRPr="00176347" w:rsidRDefault="00CD5C02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hyperlink r:id="rId62" w:tgtFrame="_top" w:history="1"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Термін "бездоганна ділова репутація" вживається у значенні, наведеному у</w:t>
        </w:r>
      </w:hyperlink>
      <w:r w:rsidR="00176347" w:rsidRPr="00176347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 </w:t>
      </w:r>
      <w:hyperlink r:id="rId63" w:tgtFrame="_top" w:history="1"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Законі України "Про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знищення"</w:t>
        </w:r>
      </w:hyperlink>
      <w:hyperlink r:id="rId64" w:tgtFrame="_top" w:history="1"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.</w:t>
        </w:r>
      </w:hyperlink>
    </w:p>
    <w:p w14:paraId="743C551C" w14:textId="77777777" w:rsidR="00176347" w:rsidRPr="00176347" w:rsidRDefault="00CD5C02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hyperlink r:id="rId65" w:tgtFrame="_top" w:history="1"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Інші терміни в цьому Порядку вживаються у значеннях, наведених у</w:t>
        </w:r>
      </w:hyperlink>
      <w:r w:rsidR="00176347" w:rsidRPr="00176347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 </w:t>
      </w:r>
      <w:hyperlink r:id="rId66" w:tgtFrame="_top" w:history="1"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Законі України "Про ринки капіталу та організовані товарні ринки"</w:t>
        </w:r>
      </w:hyperlink>
      <w:r w:rsidR="00176347" w:rsidRPr="00176347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 </w:t>
      </w:r>
      <w:hyperlink r:id="rId67" w:tgtFrame="_top" w:history="1"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та інших актах законодавства.</w:t>
        </w:r>
      </w:hyperlink>
    </w:p>
    <w:p w14:paraId="14467CCB" w14:textId="77777777" w:rsidR="00CD5C02" w:rsidRDefault="00CD5C02" w:rsidP="00176347">
      <w:pPr>
        <w:shd w:val="clear" w:color="auto" w:fill="FFFFFF"/>
        <w:spacing w:after="0" w:line="240" w:lineRule="auto"/>
        <w:ind w:firstLine="567"/>
        <w:jc w:val="both"/>
      </w:pPr>
    </w:p>
    <w:p w14:paraId="499A14A6" w14:textId="05687B15" w:rsidR="00176347" w:rsidRPr="00176347" w:rsidRDefault="00CD5C02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hyperlink r:id="rId68" w:tgtFrame="_top" w:history="1"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4. НКЦПФР під час вчинення дій, передбачених цим Порядком, керується такими принципами:</w:t>
        </w:r>
      </w:hyperlink>
    </w:p>
    <w:p w14:paraId="3716F959" w14:textId="77777777" w:rsidR="00176347" w:rsidRPr="00176347" w:rsidRDefault="00CD5C02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hyperlink r:id="rId69" w:tgtFrame="_top" w:history="1"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1) рівноцінності сутності та форми (оцінка правочинів, операцій, обставин та подій з точки зору їх суті та форми);</w:t>
        </w:r>
      </w:hyperlink>
    </w:p>
    <w:p w14:paraId="0768AB65" w14:textId="77777777" w:rsidR="00176347" w:rsidRPr="00176347" w:rsidRDefault="00CD5C02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hyperlink r:id="rId70" w:tgtFrame="_top" w:history="1"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2) співмірності (пропорційності) (урахування обставин і умов конкретної ситуації, щодо якої формується професійне судження та приймається відповідне рішення);</w:t>
        </w:r>
      </w:hyperlink>
    </w:p>
    <w:p w14:paraId="5583EFEC" w14:textId="77777777" w:rsidR="00176347" w:rsidRPr="00176347" w:rsidRDefault="00CD5C02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hyperlink r:id="rId71" w:tgtFrame="_top" w:history="1"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3) обґрунтованого сумніву (здійснення додаткової/поглибленої перевірки / аналізу правочинів, операцій, обставин та/або подій, щодо яких формується професійне судження та приймається відповідне рішення, за наявності обґрунтованого сумніву щодо них);</w:t>
        </w:r>
      </w:hyperlink>
    </w:p>
    <w:p w14:paraId="41980D59" w14:textId="77777777" w:rsidR="00176347" w:rsidRPr="00176347" w:rsidRDefault="00CD5C02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hyperlink r:id="rId72" w:tgtFrame="_top" w:history="1"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4) комплексного аналізу (дослідження всіх обставин та умов конкретної ситуації при формуванні професійного судження та прийнятті відповідного рішення).</w:t>
        </w:r>
      </w:hyperlink>
    </w:p>
    <w:p w14:paraId="5B4DE395" w14:textId="77777777" w:rsidR="00CD5C02" w:rsidRDefault="00CD5C02" w:rsidP="00176347">
      <w:pPr>
        <w:shd w:val="clear" w:color="auto" w:fill="FFFFFF"/>
        <w:spacing w:after="0" w:line="240" w:lineRule="auto"/>
        <w:ind w:firstLine="567"/>
        <w:jc w:val="both"/>
      </w:pPr>
    </w:p>
    <w:p w14:paraId="0144D64B" w14:textId="6F2E3902" w:rsidR="00176347" w:rsidRPr="00176347" w:rsidRDefault="00CD5C02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hyperlink r:id="rId73" w:tgtFrame="_top" w:history="1"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5. НКЦПФР застосовує своє професійне судження для прийняття рішень, визначених цим Порядком.</w:t>
        </w:r>
      </w:hyperlink>
    </w:p>
    <w:p w14:paraId="48DDAF3F" w14:textId="77777777" w:rsidR="00176347" w:rsidRPr="00176347" w:rsidRDefault="00CD5C02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hyperlink r:id="rId74" w:tgtFrame="_top" w:history="1"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Професійне судження формується НКЦПФР з урахуванням визначених у пункті 4 цього розділу принципів.</w:t>
        </w:r>
      </w:hyperlink>
    </w:p>
    <w:p w14:paraId="3EB300C4" w14:textId="77777777" w:rsidR="00CD5C02" w:rsidRDefault="00CD5C02" w:rsidP="00176347">
      <w:pPr>
        <w:shd w:val="clear" w:color="auto" w:fill="FFFFFF"/>
        <w:spacing w:after="0" w:line="240" w:lineRule="auto"/>
        <w:ind w:firstLine="567"/>
        <w:jc w:val="both"/>
      </w:pPr>
    </w:p>
    <w:p w14:paraId="7B98DFF9" w14:textId="5620ADA9" w:rsidR="00176347" w:rsidRPr="00176347" w:rsidRDefault="00CD5C02" w:rsidP="00176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hyperlink r:id="rId75" w:tgtFrame="_top" w:history="1">
        <w:r w:rsidR="00176347" w:rsidRPr="00176347">
          <w:rPr>
            <w:rFonts w:ascii="Times New Roman" w:eastAsia="Times New Roman" w:hAnsi="Times New Roman" w:cs="Times New Roman"/>
            <w:sz w:val="28"/>
            <w:szCs w:val="28"/>
            <w:lang w:val="uk-UA" w:eastAsia="ru-UA"/>
          </w:rPr>
          <w:t>6. НКЦПФР здійснює оцінку відповідності особи займаній посаді, яку обрано/призначено на посаду, зазначену у пункті 1 цього розділу (далі - посада), яку призначено виконувати обов'язки керівника,</w:t>
        </w:r>
      </w:hyperlink>
    </w:p>
    <w:p w14:paraId="4D8F5BC8" w14:textId="77777777" w:rsidR="005F0AEF" w:rsidRPr="00176347" w:rsidRDefault="005F0AEF" w:rsidP="0017634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5F0AEF" w:rsidRPr="00176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316DE7"/>
    <w:multiLevelType w:val="hybridMultilevel"/>
    <w:tmpl w:val="D99AA5B0"/>
    <w:lvl w:ilvl="0" w:tplc="0D54CF2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D75229C"/>
    <w:multiLevelType w:val="hybridMultilevel"/>
    <w:tmpl w:val="F7DEA56C"/>
    <w:lvl w:ilvl="0" w:tplc="3AE845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7FA"/>
    <w:rsid w:val="00176347"/>
    <w:rsid w:val="005F0AEF"/>
    <w:rsid w:val="006F38F2"/>
    <w:rsid w:val="00C077FA"/>
    <w:rsid w:val="00CD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FD33"/>
  <w15:chartTrackingRefBased/>
  <w15:docId w15:val="{75C375CE-E8D9-4094-99A6-72F5EC7A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ps.ligazakon.net/document/view/KL230028?ed=2023_01_25&amp;an=17" TargetMode="External"/><Relationship Id="rId21" Type="http://schemas.openxmlformats.org/officeDocument/2006/relationships/hyperlink" Target="https://ips.ligazakon.net/document/view/KL230028?ed=2023_01_25&amp;an=8" TargetMode="External"/><Relationship Id="rId42" Type="http://schemas.openxmlformats.org/officeDocument/2006/relationships/hyperlink" Target="https://ips.ligazakon.net/document/view/KL230028?ed=2023_01_25&amp;an=37" TargetMode="External"/><Relationship Id="rId47" Type="http://schemas.openxmlformats.org/officeDocument/2006/relationships/hyperlink" Target="https://ips.ligazakon.net/document/view/KL230082?ed=2023_03_06&amp;an=19" TargetMode="External"/><Relationship Id="rId63" Type="http://schemas.openxmlformats.org/officeDocument/2006/relationships/hyperlink" Target="https://ips.ligazakon.net/document/view/T190361?ed=2022_12_29" TargetMode="External"/><Relationship Id="rId68" Type="http://schemas.openxmlformats.org/officeDocument/2006/relationships/hyperlink" Target="https://ips.ligazakon.net/document/view/KL230028?ed=2023_01_25&amp;an=49" TargetMode="External"/><Relationship Id="rId16" Type="http://schemas.openxmlformats.org/officeDocument/2006/relationships/hyperlink" Target="https://ips.ligazakon.net/document/view/KL230082?ed=2023_03_06&amp;an=8" TargetMode="External"/><Relationship Id="rId11" Type="http://schemas.openxmlformats.org/officeDocument/2006/relationships/hyperlink" Target="https://ips.ligazakon.net/document/view/Z960448?ed=2022_08_01&amp;an=606512" TargetMode="External"/><Relationship Id="rId24" Type="http://schemas.openxmlformats.org/officeDocument/2006/relationships/hyperlink" Target="https://ips.ligazakon.net/document/view/KL230028?ed=2023_01_25&amp;an=15" TargetMode="External"/><Relationship Id="rId32" Type="http://schemas.openxmlformats.org/officeDocument/2006/relationships/hyperlink" Target="https://ips.ligazakon.net/document/view/KL230028?ed=2023_01_25&amp;an=19" TargetMode="External"/><Relationship Id="rId37" Type="http://schemas.openxmlformats.org/officeDocument/2006/relationships/hyperlink" Target="https://ips.ligazakon.net/document/view/KL230028?ed=2023_01_25&amp;an=22" TargetMode="External"/><Relationship Id="rId40" Type="http://schemas.openxmlformats.org/officeDocument/2006/relationships/hyperlink" Target="https://ips.ligazakon.net/document/view/KL230137?ed=2023_03_24&amp;an=9" TargetMode="External"/><Relationship Id="rId45" Type="http://schemas.openxmlformats.org/officeDocument/2006/relationships/hyperlink" Target="https://ips.ligazakon.net/document/view/KL230082?ed=2023_03_06&amp;an=17" TargetMode="External"/><Relationship Id="rId53" Type="http://schemas.openxmlformats.org/officeDocument/2006/relationships/hyperlink" Target="https://ips.ligazakon.net/document/view/KL230028?ed=2023_01_25&amp;an=46" TargetMode="External"/><Relationship Id="rId58" Type="http://schemas.openxmlformats.org/officeDocument/2006/relationships/hyperlink" Target="https://ips.ligazakon.net/document/view/RE37603?ed=2021_12_30&amp;an=33" TargetMode="External"/><Relationship Id="rId66" Type="http://schemas.openxmlformats.org/officeDocument/2006/relationships/hyperlink" Target="https://ips.ligazakon.net/document/view/T063480?ed=2023_01_03" TargetMode="External"/><Relationship Id="rId74" Type="http://schemas.openxmlformats.org/officeDocument/2006/relationships/hyperlink" Target="https://ips.ligazakon.net/document/view/KL230028?ed=2023_01_25&amp;an=55" TargetMode="External"/><Relationship Id="rId5" Type="http://schemas.openxmlformats.org/officeDocument/2006/relationships/hyperlink" Target="https://ips.ligazakon.net/document/view/KL230028?ed=2023_01_25&amp;an=1" TargetMode="External"/><Relationship Id="rId61" Type="http://schemas.openxmlformats.org/officeDocument/2006/relationships/hyperlink" Target="https://ips.ligazakon.net/document/view/KL230028?ed=2023_01_25&amp;an=46" TargetMode="External"/><Relationship Id="rId19" Type="http://schemas.openxmlformats.org/officeDocument/2006/relationships/hyperlink" Target="https://ips.ligazakon.net/document/view/KL230082?ed=2023_03_06&amp;an=11" TargetMode="External"/><Relationship Id="rId14" Type="http://schemas.openxmlformats.org/officeDocument/2006/relationships/hyperlink" Target="https://ips.ligazakon.net/document/view/KL230028?ed=2023_01_25&amp;an=9" TargetMode="External"/><Relationship Id="rId22" Type="http://schemas.openxmlformats.org/officeDocument/2006/relationships/hyperlink" Target="https://ips.ligazakon.net/document/view/RE22801?ed=2022_10_27&amp;an=887" TargetMode="External"/><Relationship Id="rId27" Type="http://schemas.openxmlformats.org/officeDocument/2006/relationships/hyperlink" Target="https://ips.ligazakon.net/document/view/KL230082?ed=2023_03_06&amp;an=13" TargetMode="External"/><Relationship Id="rId30" Type="http://schemas.openxmlformats.org/officeDocument/2006/relationships/hyperlink" Target="https://ips.ligazakon.net/document/view/KL230082?ed=2023_03_06&amp;an=12" TargetMode="External"/><Relationship Id="rId35" Type="http://schemas.openxmlformats.org/officeDocument/2006/relationships/hyperlink" Target="https://ips.ligazakon.net/document/view/KL230028?ed=2023_01_25&amp;an=22" TargetMode="External"/><Relationship Id="rId43" Type="http://schemas.openxmlformats.org/officeDocument/2006/relationships/hyperlink" Target="https://ips.ligazakon.net/document/view/KL230028?ed=2023_01_25&amp;an=38" TargetMode="External"/><Relationship Id="rId48" Type="http://schemas.openxmlformats.org/officeDocument/2006/relationships/hyperlink" Target="https://ips.ligazakon.net/document/view/KL230082?ed=2023_03_06&amp;an=20" TargetMode="External"/><Relationship Id="rId56" Type="http://schemas.openxmlformats.org/officeDocument/2006/relationships/hyperlink" Target="https://ips.ligazakon.net/document/view/RE37594?ed=2021_12_30&amp;an=30" TargetMode="External"/><Relationship Id="rId64" Type="http://schemas.openxmlformats.org/officeDocument/2006/relationships/hyperlink" Target="https://ips.ligazakon.net/document/view/KL230028?ed=2023_01_25&amp;an=47" TargetMode="External"/><Relationship Id="rId69" Type="http://schemas.openxmlformats.org/officeDocument/2006/relationships/hyperlink" Target="https://ips.ligazakon.net/document/view/KL230028?ed=2023_01_25&amp;an=50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ips.ligazakon.net/document/view/KL230082?ed=2023_03_06&amp;an=1" TargetMode="External"/><Relationship Id="rId51" Type="http://schemas.openxmlformats.org/officeDocument/2006/relationships/hyperlink" Target="https://ips.ligazakon.net/document/view/KL230028?ed=2023_01_25&amp;an=44" TargetMode="External"/><Relationship Id="rId72" Type="http://schemas.openxmlformats.org/officeDocument/2006/relationships/hyperlink" Target="https://ips.ligazakon.net/document/view/KL230028?ed=2023_01_25&amp;an=5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ps.ligazakon.net/document/view/Z960448?ed=2022_08_01&amp;an=123" TargetMode="External"/><Relationship Id="rId17" Type="http://schemas.openxmlformats.org/officeDocument/2006/relationships/hyperlink" Target="https://ips.ligazakon.net/document/view/KL230082?ed=2023_03_06&amp;an=10" TargetMode="External"/><Relationship Id="rId25" Type="http://schemas.openxmlformats.org/officeDocument/2006/relationships/hyperlink" Target="https://ips.ligazakon.net/document/view/KL230028?ed=2023_01_25&amp;an=16" TargetMode="External"/><Relationship Id="rId33" Type="http://schemas.openxmlformats.org/officeDocument/2006/relationships/hyperlink" Target="https://ips.ligazakon.net/document/view/KL230028?ed=2023_01_25&amp;an=21" TargetMode="External"/><Relationship Id="rId38" Type="http://schemas.openxmlformats.org/officeDocument/2006/relationships/hyperlink" Target="https://ips.ligazakon.net/document/view/KL230028?ed=2023_01_25&amp;an=24" TargetMode="External"/><Relationship Id="rId46" Type="http://schemas.openxmlformats.org/officeDocument/2006/relationships/hyperlink" Target="https://ips.ligazakon.net/document/view/KL230082?ed=2023_03_06&amp;an=18" TargetMode="External"/><Relationship Id="rId59" Type="http://schemas.openxmlformats.org/officeDocument/2006/relationships/hyperlink" Target="https://ips.ligazakon.net/document/view/KL230028?ed=2023_01_25&amp;an=46" TargetMode="External"/><Relationship Id="rId67" Type="http://schemas.openxmlformats.org/officeDocument/2006/relationships/hyperlink" Target="https://ips.ligazakon.net/document/view/KL230028?ed=2023_01_25&amp;an=48" TargetMode="External"/><Relationship Id="rId20" Type="http://schemas.openxmlformats.org/officeDocument/2006/relationships/hyperlink" Target="https://ips.ligazakon.net/document/view/KL230082?ed=2023_03_06&amp;an=8" TargetMode="External"/><Relationship Id="rId41" Type="http://schemas.openxmlformats.org/officeDocument/2006/relationships/hyperlink" Target="https://ips.ligazakon.net/document/view/KL230137?ed=2023_03_24&amp;an=8" TargetMode="External"/><Relationship Id="rId54" Type="http://schemas.openxmlformats.org/officeDocument/2006/relationships/hyperlink" Target="https://ips.ligazakon.net/document/view/RE37597?ed=2021_12_30&amp;an=25" TargetMode="External"/><Relationship Id="rId62" Type="http://schemas.openxmlformats.org/officeDocument/2006/relationships/hyperlink" Target="https://ips.ligazakon.net/document/view/KL230028?ed=2023_01_25&amp;an=47" TargetMode="External"/><Relationship Id="rId70" Type="http://schemas.openxmlformats.org/officeDocument/2006/relationships/hyperlink" Target="https://ips.ligazakon.net/document/view/KL230028?ed=2023_01_25&amp;an=51" TargetMode="External"/><Relationship Id="rId75" Type="http://schemas.openxmlformats.org/officeDocument/2006/relationships/hyperlink" Target="https://ips.ligazakon.net/document/view/KL230082?ed=2023_03_06&amp;an=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ps.ligazakon.net/document/view/KL230082?ed=2023_03_06&amp;an=1" TargetMode="External"/><Relationship Id="rId15" Type="http://schemas.openxmlformats.org/officeDocument/2006/relationships/hyperlink" Target="https://ips.ligazakon.net/document/view/KL230082?ed=2023_03_06&amp;an=9" TargetMode="External"/><Relationship Id="rId23" Type="http://schemas.openxmlformats.org/officeDocument/2006/relationships/hyperlink" Target="https://ips.ligazakon.net/document/view/KL230028?ed=2023_01_25&amp;an=14" TargetMode="External"/><Relationship Id="rId28" Type="http://schemas.openxmlformats.org/officeDocument/2006/relationships/hyperlink" Target="https://ips.ligazakon.net/document/view/KL230028?ed=2023_01_25&amp;an=13" TargetMode="External"/><Relationship Id="rId36" Type="http://schemas.openxmlformats.org/officeDocument/2006/relationships/hyperlink" Target="https://ips.ligazakon.net/document/view/KL220254?ed=2022_10_27" TargetMode="External"/><Relationship Id="rId49" Type="http://schemas.openxmlformats.org/officeDocument/2006/relationships/hyperlink" Target="https://ips.ligazakon.net/document/view/KL230082?ed=2023_03_06&amp;an=16" TargetMode="External"/><Relationship Id="rId57" Type="http://schemas.openxmlformats.org/officeDocument/2006/relationships/hyperlink" Target="https://ips.ligazakon.net/document/view/KL230028?ed=2023_01_25&amp;an=46" TargetMode="External"/><Relationship Id="rId10" Type="http://schemas.openxmlformats.org/officeDocument/2006/relationships/hyperlink" Target="https://ips.ligazakon.net/document/view/Z960448?ed=2022_08_01&amp;an=605770" TargetMode="External"/><Relationship Id="rId31" Type="http://schemas.openxmlformats.org/officeDocument/2006/relationships/hyperlink" Target="https://ips.ligazakon.net/document/view/KL230028?ed=2023_01_25&amp;an=20" TargetMode="External"/><Relationship Id="rId44" Type="http://schemas.openxmlformats.org/officeDocument/2006/relationships/hyperlink" Target="https://ips.ligazakon.net/document/view/KL230028?ed=2023_01_25&amp;an=39" TargetMode="External"/><Relationship Id="rId52" Type="http://schemas.openxmlformats.org/officeDocument/2006/relationships/hyperlink" Target="https://ips.ligazakon.net/document/view/KL230028?ed=2023_01_25&amp;an=45" TargetMode="External"/><Relationship Id="rId60" Type="http://schemas.openxmlformats.org/officeDocument/2006/relationships/hyperlink" Target="https://ips.ligazakon.net/document/view/RE37599?ed=2021_12_30&amp;an=30" TargetMode="External"/><Relationship Id="rId65" Type="http://schemas.openxmlformats.org/officeDocument/2006/relationships/hyperlink" Target="https://ips.ligazakon.net/document/view/KL230028?ed=2023_01_25&amp;an=48" TargetMode="External"/><Relationship Id="rId73" Type="http://schemas.openxmlformats.org/officeDocument/2006/relationships/hyperlink" Target="https://ips.ligazakon.net/document/view/KL230028?ed=2023_01_25&amp;an=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ps.ligazakon.net/document/view/KL230137?ed=2023_03_24&amp;an=7" TargetMode="External"/><Relationship Id="rId13" Type="http://schemas.openxmlformats.org/officeDocument/2006/relationships/hyperlink" Target="https://ips.ligazakon.net/document/view/U064_22?ed=2022_08_12" TargetMode="External"/><Relationship Id="rId18" Type="http://schemas.openxmlformats.org/officeDocument/2006/relationships/hyperlink" Target="https://ips.ligazakon.net/document/view/KL230082?ed=2023_03_06&amp;an=8" TargetMode="External"/><Relationship Id="rId39" Type="http://schemas.openxmlformats.org/officeDocument/2006/relationships/hyperlink" Target="https://ips.ligazakon.net/document/view/KL230028?ed=2023_01_25&amp;an=23" TargetMode="External"/><Relationship Id="rId34" Type="http://schemas.openxmlformats.org/officeDocument/2006/relationships/hyperlink" Target="https://ips.ligazakon.net/document/view/KL230028?ed=2023_01_25&amp;an=21" TargetMode="External"/><Relationship Id="rId50" Type="http://schemas.openxmlformats.org/officeDocument/2006/relationships/hyperlink" Target="https://ips.ligazakon.net/document/view/KL230028?ed=2023_01_25&amp;an=43" TargetMode="External"/><Relationship Id="rId55" Type="http://schemas.openxmlformats.org/officeDocument/2006/relationships/hyperlink" Target="https://ips.ligazakon.net/document/view/KL230028?ed=2023_01_25&amp;an=46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ips.ligazakon.net/document/view/KL230028?ed=2023_01_25&amp;an=1" TargetMode="External"/><Relationship Id="rId71" Type="http://schemas.openxmlformats.org/officeDocument/2006/relationships/hyperlink" Target="https://ips.ligazakon.net/document/view/KL230028?ed=2023_01_25&amp;an=52" TargetMode="External"/><Relationship Id="rId2" Type="http://schemas.openxmlformats.org/officeDocument/2006/relationships/styles" Target="styles.xml"/><Relationship Id="rId29" Type="http://schemas.openxmlformats.org/officeDocument/2006/relationships/hyperlink" Target="https://ips.ligazakon.net/document/view/KL230082?ed=2023_03_06&amp;an=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2668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2023-06-14T06:57:00Z</cp:lastPrinted>
  <dcterms:created xsi:type="dcterms:W3CDTF">2023-06-14T06:29:00Z</dcterms:created>
  <dcterms:modified xsi:type="dcterms:W3CDTF">2023-06-14T06:57:00Z</dcterms:modified>
</cp:coreProperties>
</file>